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346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MAYO-2023.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$3,480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José Ramón Rodríguez Barragán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José Ramón Rodríguez Barragán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1" w:right="23" w:hanging="408"/>
              <w:rPr>
                <w:sz w:val="22"/>
              </w:rPr>
            </w:pPr>
            <w:r>
              <w:rPr>
                <w:sz w:val="22"/>
              </w:rPr>
              <w:t>ROBR620831 9U7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type w:val="continuous"/>
          <w:pgSz w:w="20160" w:h="12240" w:orient="landscape"/>
          <w:pgMar w:top="1080" w:bottom="280" w:left="240" w:right="820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722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35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13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2023: </w:t>
            </w:r>
            <w:r>
              <w:rPr>
                <w:b/>
                <w:sz w:val="22"/>
              </w:rPr>
              <w:t>$ 10,440 PESOS 00/100 M.N.)</w:t>
            </w:r>
          </w:p>
        </w:tc>
      </w:tr>
    </w:tbl>
    <w:sectPr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2023-06-12T22:39:05Z</dcterms:created>
  <dcterms:modified xsi:type="dcterms:W3CDTF">2023-06-12T22:39:05Z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